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6" w:rsidRDefault="00B70CF6" w:rsidP="00B70CF6">
      <w:pPr>
        <w:jc w:val="right"/>
        <w:rPr>
          <w:u w:val="single"/>
        </w:rPr>
      </w:pPr>
      <w:bookmarkStart w:id="0" w:name="_GoBack"/>
      <w:bookmarkEnd w:id="0"/>
      <w:r w:rsidRPr="00391D88">
        <w:rPr>
          <w:u w:val="single"/>
        </w:rPr>
        <w:t xml:space="preserve">Таблица </w:t>
      </w:r>
      <w:r>
        <w:rPr>
          <w:u w:val="single"/>
        </w:rPr>
        <w:t>2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709"/>
        <w:gridCol w:w="709"/>
        <w:gridCol w:w="709"/>
        <w:gridCol w:w="850"/>
        <w:gridCol w:w="921"/>
        <w:gridCol w:w="828"/>
        <w:gridCol w:w="647"/>
        <w:gridCol w:w="737"/>
        <w:gridCol w:w="828"/>
        <w:gridCol w:w="852"/>
        <w:gridCol w:w="852"/>
        <w:gridCol w:w="851"/>
        <w:gridCol w:w="851"/>
        <w:gridCol w:w="851"/>
        <w:gridCol w:w="851"/>
        <w:gridCol w:w="851"/>
      </w:tblGrid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r w:rsidRPr="00517025">
              <w:t xml:space="preserve">№ </w:t>
            </w:r>
            <w:proofErr w:type="gramStart"/>
            <w:r w:rsidRPr="00517025">
              <w:t>п</w:t>
            </w:r>
            <w:proofErr w:type="gramEnd"/>
            <w:r w:rsidRPr="00517025">
              <w:t>/п</w:t>
            </w:r>
          </w:p>
        </w:tc>
        <w:tc>
          <w:tcPr>
            <w:tcW w:w="3261" w:type="dxa"/>
            <w:gridSpan w:val="4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аэродрома</w:t>
            </w:r>
          </w:p>
        </w:tc>
        <w:tc>
          <w:tcPr>
            <w:tcW w:w="4811" w:type="dxa"/>
            <w:gridSpan w:val="6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аэровокзального комплекса</w:t>
            </w:r>
          </w:p>
        </w:tc>
        <w:tc>
          <w:tcPr>
            <w:tcW w:w="5959" w:type="dxa"/>
            <w:gridSpan w:val="7"/>
          </w:tcPr>
          <w:p w:rsidR="00B70CF6" w:rsidRPr="00517025" w:rsidRDefault="00B70CF6" w:rsidP="000B0A3B">
            <w:pPr>
              <w:jc w:val="center"/>
            </w:pPr>
            <w:r w:rsidRPr="00517025">
              <w:t>Технические возможности топливозаправочных комплексов аэропорта</w:t>
            </w:r>
          </w:p>
        </w:tc>
      </w:tr>
      <w:tr w:rsidR="00B70CF6" w:rsidRPr="00517025" w:rsidTr="000B0A3B">
        <w:trPr>
          <w:cantSplit/>
          <w:trHeight w:val="2733"/>
        </w:trPr>
        <w:tc>
          <w:tcPr>
            <w:tcW w:w="595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ВПП (система ВПП) (</w:t>
            </w:r>
            <w:proofErr w:type="spellStart"/>
            <w:r w:rsidRPr="00517025">
              <w:t>взл</w:t>
            </w:r>
            <w:proofErr w:type="spellEnd"/>
            <w:r w:rsidRPr="00517025">
              <w:t xml:space="preserve">.-пос./час, </w:t>
            </w:r>
            <w:proofErr w:type="spellStart"/>
            <w:r w:rsidRPr="00517025">
              <w:t>взл</w:t>
            </w:r>
            <w:proofErr w:type="spellEnd"/>
            <w:r w:rsidRPr="00517025">
              <w:t>.-пос./год)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РД (час)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Пассажирский перрон (МС/час)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Грузовой перрон (МС/час)</w:t>
            </w:r>
          </w:p>
        </w:tc>
        <w:tc>
          <w:tcPr>
            <w:tcW w:w="850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Пр</w:t>
            </w:r>
            <w:proofErr w:type="spellEnd"/>
            <w:proofErr w:type="gramEnd"/>
            <w:r w:rsidRPr="00517025">
              <w:t xml:space="preserve"> (пасс./час)</w:t>
            </w:r>
          </w:p>
        </w:tc>
        <w:tc>
          <w:tcPr>
            <w:tcW w:w="92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Кз</w:t>
            </w:r>
            <w:proofErr w:type="spellEnd"/>
            <w:proofErr w:type="gramEnd"/>
            <w:r w:rsidRPr="00517025">
              <w:t xml:space="preserve"> (пасс./м2)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Sm</w:t>
            </w:r>
            <w:proofErr w:type="spellEnd"/>
            <w:r w:rsidRPr="00517025">
              <w:t xml:space="preserve"> (м</w:t>
            </w:r>
            <w:proofErr w:type="gramStart"/>
            <w:r w:rsidRPr="00517025">
              <w:t>2</w:t>
            </w:r>
            <w:proofErr w:type="gramEnd"/>
            <w:r w:rsidRPr="00517025">
              <w:t>)</w:t>
            </w:r>
          </w:p>
        </w:tc>
        <w:tc>
          <w:tcPr>
            <w:tcW w:w="64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Спр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груз</w:t>
            </w:r>
            <w:proofErr w:type="gramStart"/>
            <w:r w:rsidRPr="00517025">
              <w:t>.е</w:t>
            </w:r>
            <w:proofErr w:type="gramEnd"/>
            <w:r w:rsidRPr="00517025">
              <w:t>д</w:t>
            </w:r>
            <w:proofErr w:type="spellEnd"/>
            <w:r w:rsidRPr="00517025">
              <w:t>./</w:t>
            </w:r>
            <w:proofErr w:type="spellStart"/>
            <w:r w:rsidRPr="00517025">
              <w:t>сутк</w:t>
            </w:r>
            <w:proofErr w:type="spellEnd"/>
            <w:r w:rsidRPr="00517025">
              <w:t>)</w:t>
            </w:r>
          </w:p>
        </w:tc>
        <w:tc>
          <w:tcPr>
            <w:tcW w:w="73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Гсут</w:t>
            </w:r>
            <w:proofErr w:type="spellEnd"/>
            <w:r w:rsidRPr="00517025">
              <w:t xml:space="preserve">  (т.)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Sобщ</w:t>
            </w:r>
            <w:proofErr w:type="spellEnd"/>
            <w:r w:rsidRPr="00517025">
              <w:t xml:space="preserve">  (м</w:t>
            </w:r>
            <w:proofErr w:type="gramStart"/>
            <w:r w:rsidRPr="00517025">
              <w:t>2</w:t>
            </w:r>
            <w:proofErr w:type="gramEnd"/>
            <w:r w:rsidRPr="00517025">
              <w:t>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V</w:t>
            </w:r>
            <w:proofErr w:type="gramEnd"/>
            <w:r w:rsidRPr="00517025">
              <w:t>раб</w:t>
            </w:r>
            <w:proofErr w:type="spellEnd"/>
            <w:r w:rsidRPr="00517025">
              <w:t xml:space="preserve">  (т)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Q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N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G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Nдс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кол</w:t>
            </w:r>
            <w:proofErr w:type="gramStart"/>
            <w:r w:rsidRPr="00517025">
              <w:t>.з</w:t>
            </w:r>
            <w:proofErr w:type="gramEnd"/>
            <w:r w:rsidRPr="00517025">
              <w:t>апр</w:t>
            </w:r>
            <w:proofErr w:type="spellEnd"/>
            <w:r w:rsidRPr="00517025">
              <w:t>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Nмз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кол</w:t>
            </w:r>
            <w:proofErr w:type="gramStart"/>
            <w:r w:rsidRPr="00517025">
              <w:t>.з</w:t>
            </w:r>
            <w:proofErr w:type="gramEnd"/>
            <w:r w:rsidRPr="00517025">
              <w:t>апр</w:t>
            </w:r>
            <w:proofErr w:type="spellEnd"/>
            <w:r w:rsidRPr="00517025">
              <w:t>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V</w:t>
            </w:r>
            <w:proofErr w:type="gramEnd"/>
            <w:r w:rsidRPr="00517025">
              <w:t>сут</w:t>
            </w:r>
            <w:proofErr w:type="spellEnd"/>
            <w:r w:rsidRPr="00517025">
              <w:t xml:space="preserve">  (т)</w:t>
            </w:r>
          </w:p>
        </w:tc>
      </w:tr>
      <w:tr w:rsidR="00B70CF6" w:rsidRPr="00517025" w:rsidTr="000B0A3B">
        <w:trPr>
          <w:cantSplit/>
          <w:trHeight w:val="369"/>
        </w:trPr>
        <w:tc>
          <w:tcPr>
            <w:tcW w:w="595" w:type="dxa"/>
          </w:tcPr>
          <w:p w:rsidR="00B70CF6" w:rsidRPr="00517025" w:rsidRDefault="00B70CF6" w:rsidP="000B0A3B">
            <w:r>
              <w:t>1</w:t>
            </w:r>
          </w:p>
        </w:tc>
        <w:tc>
          <w:tcPr>
            <w:tcW w:w="1134" w:type="dxa"/>
          </w:tcPr>
          <w:p w:rsidR="00B70CF6" w:rsidRPr="00517025" w:rsidRDefault="00B70CF6" w:rsidP="000B0A3B">
            <w:r>
              <w:t>2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3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4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5</w:t>
            </w:r>
          </w:p>
        </w:tc>
        <w:tc>
          <w:tcPr>
            <w:tcW w:w="850" w:type="dxa"/>
          </w:tcPr>
          <w:p w:rsidR="00B70CF6" w:rsidRPr="00517025" w:rsidRDefault="00B70CF6" w:rsidP="000B0A3B">
            <w:r>
              <w:t>6</w:t>
            </w:r>
          </w:p>
        </w:tc>
        <w:tc>
          <w:tcPr>
            <w:tcW w:w="921" w:type="dxa"/>
          </w:tcPr>
          <w:p w:rsidR="00B70CF6" w:rsidRPr="00517025" w:rsidRDefault="00B70CF6" w:rsidP="000B0A3B">
            <w:r>
              <w:t>7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8</w:t>
            </w:r>
          </w:p>
        </w:tc>
        <w:tc>
          <w:tcPr>
            <w:tcW w:w="647" w:type="dxa"/>
          </w:tcPr>
          <w:p w:rsidR="00B70CF6" w:rsidRPr="00517025" w:rsidRDefault="00B70CF6" w:rsidP="000B0A3B">
            <w:r>
              <w:t>9</w:t>
            </w:r>
          </w:p>
        </w:tc>
        <w:tc>
          <w:tcPr>
            <w:tcW w:w="737" w:type="dxa"/>
          </w:tcPr>
          <w:p w:rsidR="00B70CF6" w:rsidRPr="00517025" w:rsidRDefault="00B70CF6" w:rsidP="000B0A3B">
            <w:r>
              <w:t>10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11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12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13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14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15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16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17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18</w:t>
            </w:r>
          </w:p>
        </w:tc>
      </w:tr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0CF6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  <w:p w:rsidR="0051182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21900вп/г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7мс\час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2мс/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ччас</w:t>
            </w:r>
            <w:proofErr w:type="spellEnd"/>
          </w:p>
        </w:tc>
        <w:tc>
          <w:tcPr>
            <w:tcW w:w="850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2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4185,1</w:t>
            </w:r>
          </w:p>
        </w:tc>
        <w:tc>
          <w:tcPr>
            <w:tcW w:w="64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5,86</w:t>
            </w:r>
          </w:p>
        </w:tc>
        <w:tc>
          <w:tcPr>
            <w:tcW w:w="73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1176,1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70CF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</w:p>
    <w:p w:rsidR="00A02331" w:rsidRPr="00B70CF6" w:rsidRDefault="00A02331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Сокращения: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ВПП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взлетно-посадочная полоса. </w:t>
      </w: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РД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рулежная дорожка, МС - место стоянки,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19075" cy="228600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расчетная пропускная способность аэровокзала,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8C4127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 </w:t>
      </w:r>
      <w:proofErr w:type="gramStart"/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показатель общей загруженности терминала,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1BsVSr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необходимый размер технологической зоны обслуживания,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DU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RlGgnbQoruNkS4yI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Sm0NS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средний грузооборот склада за сутки,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пропускная способность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3K4S2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общая площадь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4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8G8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YYKRoB206G5jpIuMZ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Pn/wby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рабочий объем топливного хранилища, Q - объем авиационного топлива, заправленный всеми авиаперевозчиками за год, N - количество неснижаемого остатка авиационного топлива в сутки, G - количество нормативного запаса авиационного топлива для аэропорта,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57175" cy="228600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воздушных судов в час (пиковый</w:t>
      </w:r>
      <w:proofErr w:type="gramEnd"/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расход) с использованием диспенсеров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85750" cy="228600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YFtAIAALc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 час (пиковый расход) с использованием топливозаправщиков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технически максимально возможный объем выдачи авиационного топлива из расходных резервуаров в сутки.</w:t>
      </w:r>
    </w:p>
    <w:p w:rsidR="002055C0" w:rsidRDefault="002055C0"/>
    <w:sectPr w:rsidR="002055C0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202B39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9574E3"/>
    <w:rsid w:val="00A02331"/>
    <w:rsid w:val="00B22977"/>
    <w:rsid w:val="00B27D66"/>
    <w:rsid w:val="00B70CF6"/>
    <w:rsid w:val="00BB7915"/>
    <w:rsid w:val="00C23814"/>
    <w:rsid w:val="00CC58DB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Татьяна Михайловна</cp:lastModifiedBy>
  <cp:revision>2</cp:revision>
  <cp:lastPrinted>2015-09-04T08:46:00Z</cp:lastPrinted>
  <dcterms:created xsi:type="dcterms:W3CDTF">2018-01-18T02:09:00Z</dcterms:created>
  <dcterms:modified xsi:type="dcterms:W3CDTF">2018-01-18T02:09:00Z</dcterms:modified>
</cp:coreProperties>
</file>